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pPr w:leftFromText="180" w:rightFromText="180" w:horzAnchor="margin" w:tblpY="-390"/>
        <w:tblW w:w="0" w:type="auto"/>
        <w:tblLayout w:type="fixed"/>
        <w:tblLook w:val="04A0" w:firstRow="1" w:lastRow="0" w:firstColumn="1" w:lastColumn="0" w:noHBand="0" w:noVBand="1"/>
        <w:tblDescription w:val="Brochure layout table page 1"/>
      </w:tblPr>
      <w:tblGrid>
        <w:gridCol w:w="3840"/>
        <w:gridCol w:w="713"/>
        <w:gridCol w:w="577"/>
        <w:gridCol w:w="4230"/>
        <w:gridCol w:w="469"/>
        <w:gridCol w:w="720"/>
        <w:gridCol w:w="3851"/>
      </w:tblGrid>
      <w:tr w:rsidR="00B2178B" w:rsidTr="00264AFA">
        <w:trPr>
          <w:trHeight w:hRule="exact" w:val="12063"/>
        </w:trPr>
        <w:tc>
          <w:tcPr>
            <w:tcW w:w="3840" w:type="dxa"/>
          </w:tcPr>
          <w:p w:rsidR="000B7BBF" w:rsidRPr="0053675A" w:rsidRDefault="000B7BBF" w:rsidP="0049416E">
            <w:pPr>
              <w:spacing w:after="0"/>
              <w:rPr>
                <w:sz w:val="16"/>
                <w:szCs w:val="16"/>
              </w:rPr>
            </w:pPr>
          </w:p>
          <w:p w:rsidR="000B7BBF" w:rsidRPr="0053675A" w:rsidRDefault="001C32F2" w:rsidP="0049416E">
            <w:pPr>
              <w:spacing w:after="0"/>
              <w:rPr>
                <w:b/>
                <w:sz w:val="28"/>
                <w:szCs w:val="24"/>
              </w:rPr>
            </w:pPr>
            <w:r w:rsidRPr="0053675A">
              <w:rPr>
                <w:b/>
                <w:sz w:val="28"/>
                <w:szCs w:val="24"/>
              </w:rPr>
              <w:t>Genealogy for Kids</w:t>
            </w:r>
          </w:p>
          <w:p w:rsidR="00B2178B" w:rsidRDefault="002E0548" w:rsidP="0049416E">
            <w:pPr>
              <w:spacing w:after="0"/>
            </w:pPr>
            <w:r>
              <w:t>Grades K-2</w:t>
            </w:r>
          </w:p>
          <w:p w:rsidR="001C32F2" w:rsidRDefault="001C32F2" w:rsidP="0049416E">
            <w:pPr>
              <w:spacing w:after="0"/>
            </w:pPr>
            <w:r>
              <w:t xml:space="preserve">Introduce your students to the basics of genealogy </w:t>
            </w:r>
            <w:r w:rsidR="00C41351">
              <w:t xml:space="preserve">in this hands-on workshop.  Students will have the opportunity </w:t>
            </w:r>
            <w:r w:rsidR="00713026">
              <w:t xml:space="preserve">to </w:t>
            </w:r>
            <w:r w:rsidR="00C41351">
              <w:t>construct their own family tree</w:t>
            </w:r>
            <w:r w:rsidR="00BF1FCA">
              <w:t>s</w:t>
            </w:r>
            <w:r w:rsidR="00C41351">
              <w:t xml:space="preserve"> using age-appropriate materials. Students will learn key genealogy terms such as maternal, paternal, generation,</w:t>
            </w:r>
            <w:r w:rsidR="004C083D">
              <w:t xml:space="preserve"> ancestor, and lineage.</w:t>
            </w:r>
            <w:r w:rsidR="00C41351">
              <w:t xml:space="preserve"> </w:t>
            </w:r>
          </w:p>
          <w:p w:rsidR="00C41351" w:rsidRDefault="00713026" w:rsidP="0049416E">
            <w:pPr>
              <w:spacing w:after="0"/>
              <w:contextualSpacing/>
            </w:pPr>
            <w:r>
              <w:t>This p</w:t>
            </w:r>
            <w:r w:rsidR="004C083D">
              <w:t>rogram can be expanded to include oral history interviewing skills and/or family heirloom show-and-tell.</w:t>
            </w:r>
          </w:p>
          <w:p w:rsidR="002E0548" w:rsidRDefault="002E0548" w:rsidP="0049416E">
            <w:pPr>
              <w:spacing w:after="0"/>
              <w:contextualSpacing/>
            </w:pPr>
            <w:r>
              <w:t>Standards: K.1.1, K.1.3, K.3.6, 1.1.1, 2.1.2</w:t>
            </w:r>
          </w:p>
          <w:p w:rsidR="004C083D" w:rsidRPr="0053675A" w:rsidRDefault="004C083D" w:rsidP="0049416E">
            <w:pPr>
              <w:spacing w:after="0"/>
              <w:rPr>
                <w:sz w:val="16"/>
                <w:szCs w:val="16"/>
              </w:rPr>
            </w:pPr>
          </w:p>
          <w:p w:rsidR="002E0548" w:rsidRDefault="002E0548" w:rsidP="0049416E">
            <w:pPr>
              <w:spacing w:after="0"/>
              <w:rPr>
                <w:b/>
                <w:sz w:val="28"/>
                <w:szCs w:val="24"/>
              </w:rPr>
            </w:pPr>
          </w:p>
          <w:p w:rsidR="006B5513" w:rsidRPr="0053675A" w:rsidRDefault="004C083D" w:rsidP="0049416E">
            <w:pPr>
              <w:spacing w:after="0"/>
              <w:rPr>
                <w:b/>
                <w:sz w:val="28"/>
                <w:szCs w:val="24"/>
              </w:rPr>
            </w:pPr>
            <w:r w:rsidRPr="0053675A">
              <w:rPr>
                <w:b/>
                <w:sz w:val="28"/>
                <w:szCs w:val="24"/>
              </w:rPr>
              <w:t>Weather Watchers</w:t>
            </w:r>
          </w:p>
          <w:p w:rsidR="006B5513" w:rsidRDefault="002E0548" w:rsidP="0049416E">
            <w:pPr>
              <w:spacing w:after="0"/>
            </w:pPr>
            <w:r>
              <w:t>Grades 1-3</w:t>
            </w:r>
          </w:p>
          <w:p w:rsidR="00B2178B" w:rsidRDefault="004C083D" w:rsidP="0049416E">
            <w:pPr>
              <w:spacing w:after="0"/>
              <w:contextualSpacing/>
            </w:pPr>
            <w:r>
              <w:t>Recording and predicting weather patterns has histor</w:t>
            </w:r>
            <w:r w:rsidR="0053675A">
              <w:t>ically been an important part of people’s lives</w:t>
            </w:r>
            <w:r>
              <w:t xml:space="preserve">.  In this program, students will learn about how weather affected the outcome of some key events </w:t>
            </w:r>
            <w:r w:rsidR="007A757E">
              <w:t xml:space="preserve">in history – even the rise and fall of some cultures! Students will have the opportunity to </w:t>
            </w:r>
            <w:r w:rsidR="0053675A">
              <w:t>examine</w:t>
            </w:r>
            <w:r w:rsidR="007A757E">
              <w:t xml:space="preserve"> 100-year-old d</w:t>
            </w:r>
            <w:r w:rsidR="0053675A">
              <w:t>aily weather logs from Syracuse, summarize local weather trends over the last century, and make their own weather journals for daily observations.</w:t>
            </w:r>
            <w:r w:rsidR="002E0548">
              <w:t xml:space="preserve"> </w:t>
            </w:r>
          </w:p>
          <w:p w:rsidR="002E0548" w:rsidRDefault="002E0548" w:rsidP="0049416E">
            <w:pPr>
              <w:spacing w:after="0"/>
              <w:contextualSpacing/>
            </w:pPr>
            <w:r>
              <w:t>Standards: 1.3.5, 3.3.11</w:t>
            </w:r>
          </w:p>
          <w:p w:rsidR="002C6A21" w:rsidRDefault="002C6A21" w:rsidP="0049416E">
            <w:pPr>
              <w:spacing w:after="0"/>
            </w:pPr>
          </w:p>
          <w:p w:rsidR="002C6A21" w:rsidRDefault="002C6A21" w:rsidP="0049416E">
            <w:pPr>
              <w:spacing w:after="0"/>
            </w:pPr>
            <w:r>
              <w:t xml:space="preserve"> </w:t>
            </w:r>
          </w:p>
          <w:p w:rsidR="00264AFA" w:rsidRDefault="00264AFA" w:rsidP="0049416E">
            <w:pPr>
              <w:spacing w:after="0"/>
              <w:rPr>
                <w:color w:val="C00000"/>
              </w:rPr>
            </w:pPr>
          </w:p>
          <w:p w:rsidR="00264AFA" w:rsidRDefault="00264AFA" w:rsidP="0049416E">
            <w:pPr>
              <w:spacing w:after="0"/>
              <w:rPr>
                <w:color w:val="C00000"/>
              </w:rPr>
            </w:pPr>
          </w:p>
          <w:p w:rsidR="00264AFA" w:rsidRDefault="00264AFA" w:rsidP="00264AFA">
            <w:pPr>
              <w:spacing w:after="0"/>
              <w:rPr>
                <w:color w:val="C00000"/>
              </w:rPr>
            </w:pPr>
          </w:p>
          <w:p w:rsidR="00264AFA" w:rsidRDefault="00264AFA" w:rsidP="00264AFA">
            <w:pPr>
              <w:spacing w:after="0"/>
              <w:rPr>
                <w:color w:val="C00000"/>
              </w:rPr>
            </w:pPr>
          </w:p>
          <w:p w:rsidR="00264AFA" w:rsidRDefault="00264AFA" w:rsidP="00264AFA">
            <w:pPr>
              <w:spacing w:after="0"/>
              <w:rPr>
                <w:color w:val="C00000"/>
              </w:rPr>
            </w:pPr>
          </w:p>
          <w:p w:rsidR="00264AFA" w:rsidRDefault="00264AFA" w:rsidP="00264AFA">
            <w:pPr>
              <w:spacing w:after="0"/>
              <w:rPr>
                <w:color w:val="C00000"/>
              </w:rPr>
            </w:pPr>
          </w:p>
          <w:p w:rsidR="00264AFA" w:rsidRDefault="00264AFA" w:rsidP="00264AFA">
            <w:pPr>
              <w:spacing w:after="0"/>
              <w:rPr>
                <w:color w:val="C00000"/>
              </w:rPr>
            </w:pPr>
          </w:p>
          <w:p w:rsidR="00264AFA" w:rsidRPr="002E0548" w:rsidRDefault="002E0548" w:rsidP="00264AFA">
            <w:pPr>
              <w:spacing w:after="0"/>
              <w:rPr>
                <w:color w:val="C00000"/>
              </w:rPr>
            </w:pPr>
            <w:r>
              <w:rPr>
                <w:color w:val="C00000"/>
              </w:rPr>
              <w:t>*</w:t>
            </w:r>
            <w:r w:rsidR="00264AFA" w:rsidRPr="00103955">
              <w:rPr>
                <w:color w:val="C00000"/>
              </w:rPr>
              <w:t xml:space="preserve"> </w:t>
            </w:r>
            <w:r w:rsidR="00264AFA" w:rsidRPr="00103955">
              <w:rPr>
                <w:color w:val="C00000"/>
              </w:rPr>
              <w:t xml:space="preserve">Other state standards may be addressed in </w:t>
            </w:r>
            <w:r w:rsidR="00264AFA">
              <w:rPr>
                <w:color w:val="C00000"/>
              </w:rPr>
              <w:t>subjects</w:t>
            </w:r>
            <w:r w:rsidR="00264AFA" w:rsidRPr="00103955">
              <w:rPr>
                <w:color w:val="C00000"/>
              </w:rPr>
              <w:t xml:space="preserve"> of Science, Music, and/or Math.</w:t>
            </w:r>
          </w:p>
          <w:p w:rsidR="002E0548" w:rsidRPr="002E0548" w:rsidRDefault="002E0548" w:rsidP="0049416E">
            <w:pPr>
              <w:spacing w:after="0"/>
              <w:rPr>
                <w:color w:val="C00000"/>
              </w:rPr>
            </w:pPr>
          </w:p>
        </w:tc>
        <w:tc>
          <w:tcPr>
            <w:tcW w:w="713" w:type="dxa"/>
          </w:tcPr>
          <w:p w:rsidR="00B2178B" w:rsidRDefault="00B2178B" w:rsidP="0049416E"/>
        </w:tc>
        <w:tc>
          <w:tcPr>
            <w:tcW w:w="577" w:type="dxa"/>
          </w:tcPr>
          <w:p w:rsidR="00B2178B" w:rsidRDefault="00B2178B" w:rsidP="0049416E"/>
        </w:tc>
        <w:tc>
          <w:tcPr>
            <w:tcW w:w="4230" w:type="dxa"/>
          </w:tcPr>
          <w:tbl>
            <w:tblPr>
              <w:tblStyle w:val="TableLayout"/>
              <w:tblpPr w:leftFromText="180" w:rightFromText="180" w:horzAnchor="margin" w:tblpY="808"/>
              <w:tblOverlap w:val="never"/>
              <w:tblW w:w="4220" w:type="dxa"/>
              <w:tblLayout w:type="fixed"/>
              <w:tblLook w:val="04A0" w:firstRow="1" w:lastRow="0" w:firstColumn="1" w:lastColumn="0" w:noHBand="0" w:noVBand="1"/>
            </w:tblPr>
            <w:tblGrid>
              <w:gridCol w:w="4220"/>
            </w:tblGrid>
            <w:tr w:rsidR="00B2178B" w:rsidTr="0049416E">
              <w:trPr>
                <w:trHeight w:hRule="exact" w:val="12063"/>
              </w:trPr>
              <w:tc>
                <w:tcPr>
                  <w:tcW w:w="5000" w:type="pct"/>
                </w:tcPr>
                <w:p w:rsidR="00472DCB" w:rsidRDefault="00472DCB" w:rsidP="0049416E">
                  <w:pPr>
                    <w:spacing w:after="0" w:line="240" w:lineRule="auto"/>
                  </w:pPr>
                </w:p>
                <w:p w:rsidR="00103955" w:rsidRDefault="00103955" w:rsidP="00103955">
                  <w:pPr>
                    <w:spacing w:after="0"/>
                    <w:rPr>
                      <w:b/>
                      <w:sz w:val="28"/>
                      <w:szCs w:val="28"/>
                    </w:rPr>
                  </w:pPr>
                  <w:r>
                    <w:rPr>
                      <w:b/>
                      <w:sz w:val="28"/>
                      <w:szCs w:val="28"/>
                    </w:rPr>
                    <w:t>Natural Resources</w:t>
                  </w:r>
                </w:p>
                <w:p w:rsidR="00103955" w:rsidRDefault="00103955" w:rsidP="00103955">
                  <w:pPr>
                    <w:spacing w:after="0"/>
                  </w:pPr>
                  <w:r>
                    <w:t>Grades 1-4</w:t>
                  </w:r>
                </w:p>
                <w:p w:rsidR="00103955" w:rsidRDefault="00103955" w:rsidP="00103955">
                  <w:pPr>
                    <w:spacing w:after="160"/>
                    <w:contextualSpacing/>
                  </w:pPr>
                  <w:r>
                    <w:t>Our area has always had a rich abundance of natural resources. In this program, students will learn about those resources, how they have been exploited in the past and present, and what’s being done to manage and conserve our remaining resources in a responsible manner.</w:t>
                  </w:r>
                </w:p>
                <w:p w:rsidR="002E0548" w:rsidRPr="00FD0EC4" w:rsidRDefault="002E0548" w:rsidP="00103955">
                  <w:pPr>
                    <w:spacing w:after="160"/>
                    <w:contextualSpacing/>
                  </w:pPr>
                  <w:r>
                    <w:t>Standards: 1.3.9, 1.4.5, 2.4.1, 2.4.2, 3.1.3, 3.1.8, 3.3.12, 3.3.13, 3.4.1, 4.3.5, 4.3.6, 4.3.7, 4.3.8</w:t>
                  </w:r>
                </w:p>
                <w:p w:rsidR="00B2178B" w:rsidRDefault="00B2178B" w:rsidP="0049416E"/>
                <w:p w:rsidR="002E0548" w:rsidRPr="001855B0" w:rsidRDefault="002E0548" w:rsidP="002E0548">
                  <w:pPr>
                    <w:pStyle w:val="Heading2"/>
                    <w:spacing w:before="200" w:after="0"/>
                    <w:rPr>
                      <w:rStyle w:val="Heading2Char"/>
                      <w:rFonts w:asciiTheme="minorHAnsi" w:hAnsiTheme="minorHAnsi"/>
                      <w:b/>
                      <w:bCs/>
                      <w:sz w:val="28"/>
                      <w:szCs w:val="28"/>
                    </w:rPr>
                  </w:pPr>
                  <w:r w:rsidRPr="001855B0">
                    <w:rPr>
                      <w:rStyle w:val="Heading2Char"/>
                      <w:rFonts w:asciiTheme="minorHAnsi" w:hAnsiTheme="minorHAnsi"/>
                      <w:b/>
                      <w:bCs/>
                      <w:sz w:val="28"/>
                      <w:szCs w:val="28"/>
                    </w:rPr>
                    <w:t xml:space="preserve">Mapping Kosciusko County </w:t>
                  </w:r>
                </w:p>
                <w:p w:rsidR="002E0548" w:rsidRDefault="002E0548" w:rsidP="002E0548">
                  <w:pPr>
                    <w:spacing w:after="0"/>
                  </w:pPr>
                  <w:r>
                    <w:t>Grades: 1</w:t>
                  </w:r>
                  <w:r>
                    <w:t>– 5</w:t>
                  </w:r>
                </w:p>
                <w:p w:rsidR="002E0548" w:rsidRDefault="002E0548" w:rsidP="002E0548">
                  <w:pPr>
                    <w:spacing w:after="160"/>
                    <w:contextualSpacing/>
                  </w:pPr>
                  <w:r>
                    <w:t>Why are maps important? Students will learn the basic features of maps and their importance in our past and present lives. This program will reinforce basic map-reading skills such as compass rose, latitude-longitude, scale, and map symbols using a variety of historical maps of Kosciusko County and Turkey Creek Township. Students will examine how land use has changed in the local community and generate their own local maps!</w:t>
                  </w:r>
                </w:p>
                <w:p w:rsidR="002E0548" w:rsidRDefault="002E0548" w:rsidP="002E0548">
                  <w:pPr>
                    <w:spacing w:after="160"/>
                    <w:contextualSpacing/>
                  </w:pPr>
                  <w:r>
                    <w:t>Standards: 1.3.1, 1.3.7, 2.1.2, 2.3.1, 2.3.3, 2.3.4, 2.3.5, 2.3.7, 3.1.6, 3.3.8, 3.3.11, 4.3.1, 4.3.2, 5.3.1, 5.3.4</w:t>
                  </w:r>
                </w:p>
                <w:p w:rsidR="002E0548" w:rsidRDefault="002E0548" w:rsidP="0049416E"/>
                <w:p w:rsidR="00264AFA" w:rsidRDefault="00264AFA" w:rsidP="00264AFA">
                  <w:pPr>
                    <w:spacing w:after="0"/>
                    <w:rPr>
                      <w:color w:val="C00000"/>
                    </w:rPr>
                  </w:pPr>
                </w:p>
                <w:p w:rsidR="00264AFA" w:rsidRDefault="00264AFA" w:rsidP="00264AFA">
                  <w:pPr>
                    <w:spacing w:after="0"/>
                    <w:rPr>
                      <w:color w:val="C00000"/>
                    </w:rPr>
                  </w:pPr>
                </w:p>
                <w:p w:rsidR="00264AFA" w:rsidRDefault="00264AFA" w:rsidP="00264AFA">
                  <w:pPr>
                    <w:spacing w:after="0"/>
                    <w:rPr>
                      <w:color w:val="C00000"/>
                    </w:rPr>
                  </w:pPr>
                </w:p>
                <w:p w:rsidR="00264AFA" w:rsidRDefault="00264AFA" w:rsidP="00264AFA">
                  <w:pPr>
                    <w:spacing w:after="0"/>
                    <w:rPr>
                      <w:color w:val="C00000"/>
                    </w:rPr>
                  </w:pPr>
                </w:p>
                <w:p w:rsidR="00264AFA" w:rsidRDefault="00264AFA" w:rsidP="00264AFA">
                  <w:pPr>
                    <w:spacing w:after="0"/>
                    <w:rPr>
                      <w:color w:val="C00000"/>
                    </w:rPr>
                  </w:pPr>
                </w:p>
                <w:p w:rsidR="00264AFA" w:rsidRDefault="00264AFA" w:rsidP="00264AFA">
                  <w:pPr>
                    <w:spacing w:after="0"/>
                    <w:rPr>
                      <w:color w:val="C00000"/>
                    </w:rPr>
                  </w:pPr>
                  <w:r>
                    <w:rPr>
                      <w:color w:val="C00000"/>
                    </w:rPr>
                    <w:t>**</w:t>
                  </w:r>
                  <w:r>
                    <w:rPr>
                      <w:color w:val="C00000"/>
                    </w:rPr>
                    <w:t>While these topics have certain grades and standards attached to them, if you feel the topic fits in with your curriculum, please discuss with me what you would like to do.</w:t>
                  </w:r>
                </w:p>
                <w:p w:rsidR="00264AFA" w:rsidRDefault="00264AFA" w:rsidP="00560440">
                  <w:pPr>
                    <w:rPr>
                      <w:color w:val="C00000"/>
                    </w:rPr>
                  </w:pPr>
                  <w:r>
                    <w:rPr>
                      <w:color w:val="C00000"/>
                    </w:rPr>
                    <w:t>I am open to making a subject simpler for a younger group, or a bit more advanced for an older group.</w:t>
                  </w:r>
                </w:p>
                <w:p w:rsidR="00264AFA" w:rsidRDefault="00264AFA" w:rsidP="00560440">
                  <w:pPr>
                    <w:rPr>
                      <w:color w:val="C00000"/>
                    </w:rPr>
                  </w:pPr>
                </w:p>
                <w:p w:rsidR="002E0548" w:rsidRDefault="002E0548" w:rsidP="00264AFA"/>
              </w:tc>
            </w:tr>
            <w:tr w:rsidR="00B2178B" w:rsidTr="00E83219">
              <w:trPr>
                <w:trHeight w:hRule="exact" w:val="2891"/>
              </w:trPr>
              <w:tc>
                <w:tcPr>
                  <w:tcW w:w="5000" w:type="pct"/>
                  <w:vAlign w:val="bottom"/>
                </w:tcPr>
                <w:p w:rsidR="00B2178B" w:rsidRDefault="00B2178B" w:rsidP="0049416E"/>
              </w:tc>
            </w:tr>
          </w:tbl>
          <w:p w:rsidR="00B2178B" w:rsidRDefault="00B2178B" w:rsidP="0049416E"/>
        </w:tc>
        <w:tc>
          <w:tcPr>
            <w:tcW w:w="469" w:type="dxa"/>
          </w:tcPr>
          <w:p w:rsidR="00B2178B" w:rsidRDefault="00B2178B" w:rsidP="0049416E"/>
          <w:p w:rsidR="00084B9E" w:rsidRDefault="00084B9E" w:rsidP="0049416E"/>
        </w:tc>
        <w:tc>
          <w:tcPr>
            <w:tcW w:w="720" w:type="dxa"/>
          </w:tcPr>
          <w:p w:rsidR="00B2178B" w:rsidRDefault="00B2178B" w:rsidP="0049416E"/>
        </w:tc>
        <w:tc>
          <w:tcPr>
            <w:tcW w:w="3851" w:type="dxa"/>
          </w:tcPr>
          <w:tbl>
            <w:tblPr>
              <w:tblStyle w:val="TableLayout"/>
              <w:tblW w:w="3956" w:type="dxa"/>
              <w:tblLayout w:type="fixed"/>
              <w:tblLook w:val="04A0" w:firstRow="1" w:lastRow="0" w:firstColumn="1" w:lastColumn="0" w:noHBand="0" w:noVBand="1"/>
            </w:tblPr>
            <w:tblGrid>
              <w:gridCol w:w="3956"/>
            </w:tblGrid>
            <w:tr w:rsidR="00B2178B" w:rsidTr="003B22DD">
              <w:trPr>
                <w:trHeight w:hRule="exact" w:val="3780"/>
              </w:trPr>
              <w:sdt>
                <w:sdtPr>
                  <w:id w:val="-1297910721"/>
                  <w:picture/>
                </w:sdtPr>
                <w:sdtEndPr/>
                <w:sdtContent>
                  <w:tc>
                    <w:tcPr>
                      <w:tcW w:w="5000" w:type="pct"/>
                    </w:tcPr>
                    <w:p w:rsidR="00B2178B" w:rsidRDefault="009337F8" w:rsidP="0049416E">
                      <w:pPr>
                        <w:framePr w:hSpace="180" w:wrap="around" w:hAnchor="margin" w:y="-390"/>
                      </w:pPr>
                      <w:r>
                        <w:rPr>
                          <w:noProof/>
                          <w:lang w:eastAsia="en-US"/>
                        </w:rPr>
                        <w:drawing>
                          <wp:inline distT="0" distB="0" distL="0" distR="0">
                            <wp:extent cx="2440940" cy="293370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440940" cy="2933700"/>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r>
            <w:tr w:rsidR="00B2178B" w:rsidTr="003B22DD">
              <w:trPr>
                <w:trHeight w:hRule="exact" w:val="80"/>
              </w:trPr>
              <w:tc>
                <w:tcPr>
                  <w:tcW w:w="5000" w:type="pct"/>
                </w:tcPr>
                <w:p w:rsidR="00B2178B" w:rsidRDefault="00B2178B" w:rsidP="0049416E">
                  <w:pPr>
                    <w:framePr w:hSpace="180" w:wrap="around" w:hAnchor="margin" w:y="-390"/>
                  </w:pPr>
                </w:p>
              </w:tc>
            </w:tr>
            <w:tr w:rsidR="00B2178B" w:rsidTr="00905014">
              <w:trPr>
                <w:trHeight w:hRule="exact" w:val="2853"/>
              </w:trPr>
              <w:sdt>
                <w:sdtPr>
                  <w:alias w:val="Company"/>
                  <w:tag w:val=""/>
                  <w:id w:val="1477263083"/>
                  <w:placeholder>
                    <w:docPart w:val="FC54DDC9C090462EBF585D4931EFCB0C"/>
                  </w:placeholder>
                  <w:dataBinding w:prefixMappings="xmlns:ns0='http://schemas.openxmlformats.org/officeDocument/2006/extended-properties' " w:xpath="/ns0:Properties[1]/ns0:Company[1]" w:storeItemID="{6668398D-A668-4E3E-A5EB-62B293D839F1}"/>
                  <w:text/>
                </w:sdtPr>
                <w:sdtEndPr/>
                <w:sdtContent>
                  <w:tc>
                    <w:tcPr>
                      <w:tcW w:w="5000" w:type="pct"/>
                      <w:shd w:val="clear" w:color="auto" w:fill="B33536" w:themeFill="accent2"/>
                    </w:tcPr>
                    <w:p w:rsidR="00B2178B" w:rsidRDefault="003B22DD" w:rsidP="0049416E">
                      <w:pPr>
                        <w:pStyle w:val="Title"/>
                        <w:framePr w:hSpace="180" w:wrap="around" w:hAnchor="margin" w:y="-390"/>
                      </w:pPr>
                      <w:r>
                        <w:t>SYracuse-Wawasee      historical museum</w:t>
                      </w:r>
                    </w:p>
                  </w:tc>
                </w:sdtContent>
              </w:sdt>
            </w:tr>
            <w:tr w:rsidR="00B2178B" w:rsidTr="00710873">
              <w:trPr>
                <w:trHeight w:hRule="exact" w:val="5343"/>
              </w:trPr>
              <w:tc>
                <w:tcPr>
                  <w:tcW w:w="5000" w:type="pct"/>
                  <w:shd w:val="clear" w:color="auto" w:fill="B33536" w:themeFill="accent2"/>
                  <w:vAlign w:val="bottom"/>
                </w:tcPr>
                <w:p w:rsidR="003B22DD" w:rsidRDefault="003B22DD" w:rsidP="00710873">
                  <w:pPr>
                    <w:pStyle w:val="Subtitle"/>
                    <w:framePr w:hSpace="180" w:wrap="around" w:hAnchor="margin" w:y="-390"/>
                    <w:spacing w:after="120" w:line="240" w:lineRule="auto"/>
                    <w:rPr>
                      <w:rFonts w:asciiTheme="majorHAnsi" w:hAnsiTheme="majorHAnsi"/>
                      <w:i w:val="0"/>
                      <w:sz w:val="44"/>
                      <w:szCs w:val="44"/>
                    </w:rPr>
                  </w:pPr>
                  <w:r>
                    <w:rPr>
                      <w:rFonts w:asciiTheme="majorHAnsi" w:hAnsiTheme="majorHAnsi"/>
                      <w:i w:val="0"/>
                      <w:sz w:val="44"/>
                      <w:szCs w:val="44"/>
                    </w:rPr>
                    <w:t xml:space="preserve">Educational </w:t>
                  </w:r>
                  <w:r w:rsidR="00710873">
                    <w:rPr>
                      <w:rFonts w:asciiTheme="majorHAnsi" w:hAnsiTheme="majorHAnsi"/>
                      <w:i w:val="0"/>
                      <w:sz w:val="44"/>
                      <w:szCs w:val="44"/>
                    </w:rPr>
                    <w:t xml:space="preserve">Classroom </w:t>
                  </w:r>
                  <w:r>
                    <w:rPr>
                      <w:rFonts w:asciiTheme="majorHAnsi" w:hAnsiTheme="majorHAnsi"/>
                      <w:i w:val="0"/>
                      <w:sz w:val="44"/>
                      <w:szCs w:val="44"/>
                    </w:rPr>
                    <w:t xml:space="preserve">Outreach Programs </w:t>
                  </w:r>
                </w:p>
                <w:p w:rsidR="00B2178B" w:rsidRPr="003B22DD" w:rsidRDefault="00905014" w:rsidP="0049416E">
                  <w:pPr>
                    <w:pStyle w:val="Subtitle"/>
                    <w:framePr w:hSpace="180" w:wrap="around" w:hAnchor="margin" w:y="-390"/>
                    <w:spacing w:after="120" w:line="240" w:lineRule="auto"/>
                    <w:rPr>
                      <w:rFonts w:asciiTheme="majorHAnsi" w:hAnsiTheme="majorHAnsi"/>
                      <w:i w:val="0"/>
                      <w:sz w:val="44"/>
                      <w:szCs w:val="44"/>
                    </w:rPr>
                  </w:pPr>
                  <w:r>
                    <w:rPr>
                      <w:rFonts w:asciiTheme="majorHAnsi" w:hAnsiTheme="majorHAnsi"/>
                      <w:i w:val="0"/>
                      <w:sz w:val="44"/>
                      <w:szCs w:val="44"/>
                    </w:rPr>
                    <w:t>2015</w:t>
                  </w:r>
                </w:p>
              </w:tc>
            </w:tr>
          </w:tbl>
          <w:p w:rsidR="00B2178B" w:rsidRDefault="00B2178B" w:rsidP="0049416E"/>
        </w:tc>
      </w:tr>
    </w:tbl>
    <w:p w:rsidR="00B2178B" w:rsidRDefault="00B2178B">
      <w:pPr>
        <w:pStyle w:val="NoSpacing"/>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4004"/>
        <w:gridCol w:w="559"/>
        <w:gridCol w:w="720"/>
        <w:gridCol w:w="3851"/>
      </w:tblGrid>
      <w:tr w:rsidR="00B2178B" w:rsidTr="00264AFA">
        <w:trPr>
          <w:trHeight w:hRule="exact" w:val="10800"/>
          <w:jc w:val="center"/>
        </w:trPr>
        <w:tc>
          <w:tcPr>
            <w:tcW w:w="3840" w:type="dxa"/>
          </w:tcPr>
          <w:p w:rsidR="00B2178B" w:rsidRDefault="00FA1930">
            <w:r w:rsidRPr="00905014">
              <w:rPr>
                <w:noProof/>
                <w:shd w:val="clear" w:color="auto" w:fill="B33536" w:themeFill="accent2"/>
                <w:lang w:eastAsia="en-US"/>
              </w:rPr>
              <w:drawing>
                <wp:inline distT="0" distB="0" distL="0" distR="0" wp14:anchorId="0160B890" wp14:editId="52DFEF52">
                  <wp:extent cx="2390775" cy="1119883"/>
                  <wp:effectExtent l="0" t="0" r="0" b="4445"/>
                  <wp:docPr id="2" name="Picture 2" descr="N:\Ann's Files\S-W museum logo.bmp"/>
                  <wp:cNvGraphicFramePr/>
                  <a:graphic xmlns:a="http://schemas.openxmlformats.org/drawingml/2006/main">
                    <a:graphicData uri="http://schemas.openxmlformats.org/drawingml/2006/picture">
                      <pic:pic xmlns:pic="http://schemas.openxmlformats.org/drawingml/2006/picture">
                        <pic:nvPicPr>
                          <pic:cNvPr id="2" name="Picture 2" descr="N:\Ann's Files\S-W museum logo.bmp"/>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1119883"/>
                          </a:xfrm>
                          <a:prstGeom prst="rect">
                            <a:avLst/>
                          </a:prstGeom>
                          <a:ln>
                            <a:noFill/>
                          </a:ln>
                          <a:effectLst>
                            <a:softEdge rad="112500"/>
                          </a:effectLst>
                        </pic:spPr>
                      </pic:pic>
                    </a:graphicData>
                  </a:graphic>
                </wp:inline>
              </w:drawing>
            </w:r>
          </w:p>
          <w:p w:rsidR="00E4645B" w:rsidRPr="00621142" w:rsidRDefault="00FC30FC" w:rsidP="00FC30FC">
            <w:pPr>
              <w:pStyle w:val="Heading1"/>
              <w:rPr>
                <w:color w:val="B33536" w:themeColor="accent2"/>
              </w:rPr>
            </w:pPr>
            <w:r w:rsidRPr="00621142">
              <w:rPr>
                <w:rStyle w:val="Heading1Char"/>
                <w:b/>
                <w:bCs/>
                <w:color w:val="B33536" w:themeColor="accent2"/>
              </w:rPr>
              <w:t>General Information:</w:t>
            </w:r>
          </w:p>
          <w:p w:rsidR="00E4645B" w:rsidRDefault="00E4645B" w:rsidP="00E4645B">
            <w:r>
              <w:t>The Syracuse-Wawasee Historical Museum has a mission of sharing local history with all members of the community – including school childre</w:t>
            </w:r>
            <w:r w:rsidR="00FC30FC">
              <w:t xml:space="preserve">n! Our outreach programs aim to </w:t>
            </w:r>
            <w:r w:rsidR="00BF1FCA">
              <w:t xml:space="preserve">excite students about our </w:t>
            </w:r>
            <w:r w:rsidR="00FC30FC">
              <w:t>town and county history through hands-on activities and interdisciplinary learning. All programs are tied to Indiana State Co</w:t>
            </w:r>
            <w:r w:rsidR="00BF1FCA">
              <w:t>re Standards for Social Studies</w:t>
            </w:r>
            <w:r w:rsidR="00FC30FC">
              <w:t xml:space="preserve"> and can be tailored to emphasize specific learning objectives or topics at the request of classroom teachers.</w:t>
            </w:r>
          </w:p>
          <w:p w:rsidR="00713026" w:rsidRPr="00713026" w:rsidRDefault="00FC30FC" w:rsidP="00713026">
            <w:r>
              <w:t>Outreach progr</w:t>
            </w:r>
            <w:r w:rsidR="00BF1FCA">
              <w:t xml:space="preserve">ams are designed to be held in </w:t>
            </w:r>
            <w:r w:rsidR="0053675A">
              <w:t>school classroom</w:t>
            </w:r>
            <w:r w:rsidR="00BF1FCA">
              <w:t>s</w:t>
            </w:r>
            <w:r w:rsidR="00262F43">
              <w:t>, or</w:t>
            </w:r>
            <w:r w:rsidR="0053675A">
              <w:t xml:space="preserve"> may also take place </w:t>
            </w:r>
            <w:r w:rsidR="00BF1FCA">
              <w:t>on site at the Museum</w:t>
            </w:r>
            <w:r w:rsidR="0053675A">
              <w:t>.</w:t>
            </w:r>
            <w:r>
              <w:t xml:space="preserve"> Museum tours </w:t>
            </w:r>
            <w:r w:rsidR="00A76555">
              <w:t xml:space="preserve">and scavenger hunts for children </w:t>
            </w:r>
            <w:r>
              <w:t>are also available by request.</w:t>
            </w:r>
            <w:r w:rsidR="001855B0">
              <w:t xml:space="preserve"> Programs are free; donations are appreciated.</w:t>
            </w:r>
            <w:r w:rsidR="00BF1FCA">
              <w:t xml:space="preserve"> Some p</w:t>
            </w:r>
            <w:r w:rsidR="00FD0EC4">
              <w:t xml:space="preserve">rogram expansions </w:t>
            </w:r>
            <w:r w:rsidR="00BF1FCA">
              <w:t xml:space="preserve">may </w:t>
            </w:r>
            <w:r w:rsidR="001855B0">
              <w:t xml:space="preserve">require a small fee per student for supply costs. </w:t>
            </w:r>
          </w:p>
          <w:p w:rsidR="00FA1930" w:rsidRPr="00FA1930" w:rsidRDefault="00713026" w:rsidP="00FA1930">
            <w:pPr>
              <w:spacing w:after="0" w:line="240" w:lineRule="auto"/>
              <w:rPr>
                <w:b/>
              </w:rPr>
            </w:pPr>
            <w:r w:rsidRPr="00FA1930">
              <w:rPr>
                <w:b/>
                <w:noProof/>
                <w:lang w:eastAsia="en-US"/>
              </w:rPr>
              <mc:AlternateContent>
                <mc:Choice Requires="wps">
                  <w:drawing>
                    <wp:anchor distT="45720" distB="45720" distL="114300" distR="114300" simplePos="0" relativeHeight="251659264" behindDoc="0" locked="0" layoutInCell="1" allowOverlap="1" wp14:anchorId="0AA6CB2D" wp14:editId="3BCD28A8">
                      <wp:simplePos x="0" y="0"/>
                      <wp:positionH relativeFrom="column">
                        <wp:posOffset>57</wp:posOffset>
                      </wp:positionH>
                      <wp:positionV relativeFrom="paragraph">
                        <wp:posOffset>209963</wp:posOffset>
                      </wp:positionV>
                      <wp:extent cx="2409825" cy="1243173"/>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243173"/>
                              </a:xfrm>
                              <a:prstGeom prst="rect">
                                <a:avLst/>
                              </a:prstGeom>
                              <a:solidFill>
                                <a:srgbClr val="FFFFFF"/>
                              </a:solidFill>
                              <a:ln w="19050">
                                <a:solidFill>
                                  <a:schemeClr val="accent2"/>
                                </a:solidFill>
                                <a:miter lim="800000"/>
                                <a:headEnd/>
                                <a:tailEnd/>
                              </a:ln>
                            </wps:spPr>
                            <wps:txbx>
                              <w:txbxContent>
                                <w:p w:rsidR="00CF258C" w:rsidRDefault="00CF258C" w:rsidP="00FA1930">
                                  <w:pPr>
                                    <w:spacing w:after="0" w:line="240" w:lineRule="auto"/>
                                  </w:pPr>
                                  <w:r>
                                    <w:t>Jamie Clemons, Director</w:t>
                                  </w:r>
                                </w:p>
                                <w:p w:rsidR="00FA1930" w:rsidRDefault="00FA1930" w:rsidP="00FA1930">
                                  <w:pPr>
                                    <w:spacing w:after="0" w:line="240" w:lineRule="auto"/>
                                  </w:pPr>
                                  <w:r>
                                    <w:t>Syracuse-Wawasee Historical Museum</w:t>
                                  </w:r>
                                </w:p>
                                <w:p w:rsidR="00FA1930" w:rsidRDefault="00FA1930" w:rsidP="00FA1930">
                                  <w:pPr>
                                    <w:spacing w:after="0" w:line="240" w:lineRule="auto"/>
                                  </w:pPr>
                                  <w:r>
                                    <w:t>1013 North Long Drive</w:t>
                                  </w:r>
                                </w:p>
                                <w:p w:rsidR="00FA1930" w:rsidRDefault="00FA1930" w:rsidP="00FA1930">
                                  <w:pPr>
                                    <w:spacing w:after="0" w:line="240" w:lineRule="auto"/>
                                  </w:pPr>
                                  <w:r>
                                    <w:t>Syracuse, IN 46567</w:t>
                                  </w:r>
                                </w:p>
                                <w:p w:rsidR="00FA1930" w:rsidRDefault="00FA1930" w:rsidP="00FA1930">
                                  <w:pPr>
                                    <w:spacing w:after="0" w:line="240" w:lineRule="auto"/>
                                  </w:pPr>
                                  <w:r>
                                    <w:t>574-457-3599</w:t>
                                  </w:r>
                                </w:p>
                                <w:p w:rsidR="00FA1930" w:rsidRDefault="00D6318E" w:rsidP="00FA1930">
                                  <w:pPr>
                                    <w:spacing w:after="0" w:line="240" w:lineRule="auto"/>
                                  </w:pPr>
                                  <w:hyperlink r:id="rId9" w:history="1">
                                    <w:r w:rsidR="00FA1930" w:rsidRPr="00370FDC">
                                      <w:rPr>
                                        <w:rStyle w:val="Hyperlink"/>
                                      </w:rPr>
                                      <w:t>director@syracusemuseum.org</w:t>
                                    </w:r>
                                  </w:hyperlink>
                                </w:p>
                                <w:p w:rsidR="00FA1930" w:rsidRDefault="00FA1930" w:rsidP="00FA1930">
                                  <w:pPr>
                                    <w:spacing w:after="0" w:line="240" w:lineRule="auto"/>
                                  </w:pPr>
                                  <w:r>
                                    <w:t>www.syracusemuseum.org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A6CB2D" id="_x0000_t202" coordsize="21600,21600" o:spt="202" path="m,l,21600r21600,l21600,xe">
                      <v:stroke joinstyle="miter"/>
                      <v:path gradientshapeok="t" o:connecttype="rect"/>
                    </v:shapetype>
                    <v:shape id="Text Box 2" o:spid="_x0000_s1026" type="#_x0000_t202" style="position:absolute;margin-left:0;margin-top:16.55pt;width:189.75pt;height:9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" strokecolor="#b33536 [3205]" strokeweight="1.5pt">
                      <v:textbox>
                        <w:txbxContent>
                          <w:p w:rsidR="00CF258C" w:rsidRDefault="00CF258C" w:rsidP="00FA1930">
                            <w:pPr>
                              <w:spacing w:after="0" w:line="240" w:lineRule="auto"/>
                            </w:pPr>
                            <w:r>
                              <w:t>Jamie Clemons, Director</w:t>
                            </w:r>
                          </w:p>
                          <w:p w:rsidR="00FA1930" w:rsidRDefault="00FA1930" w:rsidP="00FA1930">
                            <w:pPr>
                              <w:spacing w:after="0" w:line="240" w:lineRule="auto"/>
                            </w:pPr>
                            <w:r>
                              <w:t>Syracuse-Wawasee Historical Museum</w:t>
                            </w:r>
                          </w:p>
                          <w:p w:rsidR="00FA1930" w:rsidRDefault="00FA1930" w:rsidP="00FA1930">
                            <w:pPr>
                              <w:spacing w:after="0" w:line="240" w:lineRule="auto"/>
                            </w:pPr>
                            <w:r>
                              <w:t>1013 North Long Drive</w:t>
                            </w:r>
                          </w:p>
                          <w:p w:rsidR="00FA1930" w:rsidRDefault="00FA1930" w:rsidP="00FA1930">
                            <w:pPr>
                              <w:spacing w:after="0" w:line="240" w:lineRule="auto"/>
                            </w:pPr>
                            <w:r>
                              <w:t>Syracuse, IN 46567</w:t>
                            </w:r>
                          </w:p>
                          <w:p w:rsidR="00FA1930" w:rsidRDefault="00FA1930" w:rsidP="00FA1930">
                            <w:pPr>
                              <w:spacing w:after="0" w:line="240" w:lineRule="auto"/>
                            </w:pPr>
                            <w:r>
                              <w:t>574-457-3599</w:t>
                            </w:r>
                          </w:p>
                          <w:p w:rsidR="00FA1930" w:rsidRDefault="00D6318E" w:rsidP="00FA1930">
                            <w:pPr>
                              <w:spacing w:after="0" w:line="240" w:lineRule="auto"/>
                            </w:pPr>
                            <w:hyperlink r:id="rId10" w:history="1">
                              <w:r w:rsidR="00FA1930" w:rsidRPr="00370FDC">
                                <w:rPr>
                                  <w:rStyle w:val="Hyperlink"/>
                                </w:rPr>
                                <w:t>director@syracusemuseum.org</w:t>
                              </w:r>
                            </w:hyperlink>
                          </w:p>
                          <w:p w:rsidR="00FA1930" w:rsidRDefault="00FA1930" w:rsidP="00FA1930">
                            <w:pPr>
                              <w:spacing w:after="0" w:line="240" w:lineRule="auto"/>
                            </w:pPr>
                            <w:r>
                              <w:t>www.syracusemuseum.org</w:t>
                            </w:r>
                          </w:p>
                        </w:txbxContent>
                      </v:textbox>
                      <w10:wrap type="square"/>
                    </v:shape>
                  </w:pict>
                </mc:Fallback>
              </mc:AlternateContent>
            </w:r>
            <w:r w:rsidR="00FA1930" w:rsidRPr="00FA1930">
              <w:rPr>
                <w:b/>
              </w:rPr>
              <w:t>Contact Information:</w:t>
            </w:r>
          </w:p>
        </w:tc>
        <w:tc>
          <w:tcPr>
            <w:tcW w:w="713" w:type="dxa"/>
          </w:tcPr>
          <w:p w:rsidR="00B2178B" w:rsidRDefault="00B2178B"/>
        </w:tc>
        <w:tc>
          <w:tcPr>
            <w:tcW w:w="713" w:type="dxa"/>
          </w:tcPr>
          <w:p w:rsidR="00B2178B" w:rsidRDefault="00B2178B"/>
        </w:tc>
        <w:tc>
          <w:tcPr>
            <w:tcW w:w="4004" w:type="dxa"/>
          </w:tcPr>
          <w:p w:rsidR="00B20036" w:rsidRPr="00FD0EC4" w:rsidRDefault="00B20036" w:rsidP="00B20036">
            <w:pPr>
              <w:pStyle w:val="Heading2"/>
              <w:spacing w:before="200" w:after="0"/>
              <w:contextualSpacing/>
              <w:rPr>
                <w:rStyle w:val="Heading2Char"/>
                <w:rFonts w:asciiTheme="minorHAnsi" w:hAnsiTheme="minorHAnsi"/>
                <w:b/>
                <w:bCs/>
                <w:sz w:val="28"/>
                <w:szCs w:val="28"/>
              </w:rPr>
            </w:pPr>
            <w:r>
              <w:rPr>
                <w:rStyle w:val="Heading2Char"/>
                <w:rFonts w:asciiTheme="minorHAnsi" w:hAnsiTheme="minorHAnsi"/>
                <w:b/>
                <w:bCs/>
                <w:sz w:val="28"/>
                <w:szCs w:val="28"/>
              </w:rPr>
              <w:t xml:space="preserve">Prehistoric </w:t>
            </w:r>
            <w:r>
              <w:rPr>
                <w:rStyle w:val="Heading2Char"/>
                <w:rFonts w:asciiTheme="minorHAnsi" w:hAnsiTheme="minorHAnsi"/>
                <w:b/>
                <w:bCs/>
                <w:sz w:val="28"/>
                <w:szCs w:val="28"/>
              </w:rPr>
              <w:t>Indians</w:t>
            </w:r>
          </w:p>
          <w:p w:rsidR="00B20036" w:rsidRDefault="00B20036" w:rsidP="00B20036">
            <w:pPr>
              <w:spacing w:after="0"/>
            </w:pPr>
            <w:r>
              <w:t>Grades: 3 – 5</w:t>
            </w:r>
          </w:p>
          <w:p w:rsidR="00F06EDE" w:rsidRDefault="00B20036" w:rsidP="00B20036">
            <w:pPr>
              <w:contextualSpacing/>
            </w:pPr>
            <w:r>
              <w:t>Using artifacts found right here in Kosciusko County, students will learn about the prehistory of Indiana as understood through archaeological findings. Students will find out about and distinguish between the Paleo-Indian, Archaic, and Woodland eras of Native history. Students will have the opportunity to identify a collection of projectile points using a dichotomous key and make a true-to-scale time line of major Indian eras.</w:t>
            </w:r>
          </w:p>
          <w:p w:rsidR="00F06EDE" w:rsidRPr="00B20036" w:rsidRDefault="00F06EDE" w:rsidP="00B20036">
            <w:pPr>
              <w:contextualSpacing/>
              <w:rPr>
                <w:rStyle w:val="Heading2Char"/>
                <w:rFonts w:asciiTheme="minorHAnsi" w:eastAsiaTheme="minorHAnsi" w:hAnsiTheme="minorHAnsi" w:cstheme="minorBidi"/>
                <w:b w:val="0"/>
                <w:bCs w:val="0"/>
                <w:color w:val="4D4436" w:themeColor="text2" w:themeTint="E6"/>
                <w:sz w:val="20"/>
              </w:rPr>
            </w:pPr>
            <w:r>
              <w:t>Standards: 3.1.1, 3.1.6, 4.1.1, 5.1.1</w:t>
            </w:r>
          </w:p>
          <w:p w:rsidR="00B2178B" w:rsidRPr="001855B0" w:rsidRDefault="00B20036" w:rsidP="001855B0">
            <w:pPr>
              <w:pStyle w:val="Heading2"/>
              <w:spacing w:before="200" w:after="0"/>
              <w:rPr>
                <w:rStyle w:val="Heading2Char"/>
                <w:rFonts w:asciiTheme="minorHAnsi" w:hAnsiTheme="minorHAnsi"/>
                <w:b/>
                <w:bCs/>
                <w:sz w:val="28"/>
                <w:szCs w:val="28"/>
              </w:rPr>
            </w:pPr>
            <w:r>
              <w:rPr>
                <w:rStyle w:val="Heading2Char"/>
                <w:rFonts w:asciiTheme="minorHAnsi" w:hAnsiTheme="minorHAnsi"/>
                <w:b/>
                <w:bCs/>
                <w:sz w:val="28"/>
                <w:szCs w:val="28"/>
              </w:rPr>
              <w:t xml:space="preserve">Historic </w:t>
            </w:r>
            <w:r w:rsidR="00FC30FC" w:rsidRPr="001855B0">
              <w:rPr>
                <w:rStyle w:val="Heading2Char"/>
                <w:rFonts w:asciiTheme="minorHAnsi" w:hAnsiTheme="minorHAnsi"/>
                <w:b/>
                <w:bCs/>
                <w:sz w:val="28"/>
                <w:szCs w:val="28"/>
              </w:rPr>
              <w:t>Native Americans</w:t>
            </w:r>
          </w:p>
          <w:p w:rsidR="00FC30FC" w:rsidRDefault="00FC30FC" w:rsidP="001855B0">
            <w:pPr>
              <w:spacing w:after="0"/>
            </w:pPr>
            <w:r>
              <w:t>Grades: K – 5</w:t>
            </w:r>
          </w:p>
          <w:p w:rsidR="00F06EDE" w:rsidRDefault="00FC30FC" w:rsidP="0053675A">
            <w:pPr>
              <w:spacing w:after="160"/>
              <w:contextualSpacing/>
            </w:pPr>
            <w:r>
              <w:t>Using maps, models, and hands-on activities, students will investigate</w:t>
            </w:r>
            <w:r w:rsidR="00E620F7">
              <w:t xml:space="preserve"> Native</w:t>
            </w:r>
            <w:r w:rsidR="00BF1FCA">
              <w:t xml:space="preserve"> American</w:t>
            </w:r>
            <w:r w:rsidR="00E620F7">
              <w:t xml:space="preserve"> culture</w:t>
            </w:r>
            <w:r w:rsidR="00BF1FCA">
              <w:t xml:space="preserve"> by comparing</w:t>
            </w:r>
            <w:r>
              <w:t xml:space="preserve"> various tribes that occupied Kosciusko County during the </w:t>
            </w:r>
            <w:r w:rsidR="00E81432">
              <w:t>18</w:t>
            </w:r>
            <w:r w:rsidRPr="00FC30FC">
              <w:rPr>
                <w:vertAlign w:val="superscript"/>
              </w:rPr>
              <w:t>th</w:t>
            </w:r>
            <w:r w:rsidR="00E81432">
              <w:t xml:space="preserve"> and 19</w:t>
            </w:r>
            <w:r w:rsidR="00E81432" w:rsidRPr="00E81432">
              <w:rPr>
                <w:vertAlign w:val="superscript"/>
              </w:rPr>
              <w:t>th</w:t>
            </w:r>
            <w:r w:rsidR="00E81432">
              <w:t xml:space="preserve"> centuries</w:t>
            </w:r>
            <w:r>
              <w:t>. Students will learn</w:t>
            </w:r>
            <w:r w:rsidR="00BF1FCA">
              <w:t xml:space="preserve"> about food, clothing, shelter, </w:t>
            </w:r>
            <w:r>
              <w:t>and recreational activi</w:t>
            </w:r>
            <w:r w:rsidR="00BF1FCA">
              <w:t xml:space="preserve">ties of these Native Americans and hear </w:t>
            </w:r>
            <w:r>
              <w:t xml:space="preserve">traditional </w:t>
            </w:r>
            <w:r w:rsidR="00BF1FCA">
              <w:t>Miami Indian stories</w:t>
            </w:r>
            <w:r w:rsidR="00E81432">
              <w:t>.</w:t>
            </w:r>
            <w:r w:rsidR="00E620F7">
              <w:t xml:space="preserve"> </w:t>
            </w:r>
            <w:r w:rsidR="00713026">
              <w:t>This p</w:t>
            </w:r>
            <w:r w:rsidR="00E620F7">
              <w:t xml:space="preserve">rogram can be expanded to include the retelling of Native American stories </w:t>
            </w:r>
            <w:r w:rsidR="00560440">
              <w:t>through student-created artwork, or an exploration of various Native American cultures throughout the United States.</w:t>
            </w:r>
          </w:p>
          <w:p w:rsidR="00F06EDE" w:rsidRPr="005741DB" w:rsidRDefault="00F06EDE" w:rsidP="0053675A">
            <w:pPr>
              <w:spacing w:after="160"/>
              <w:contextualSpacing/>
              <w:rPr>
                <w:rStyle w:val="Heading2Char"/>
                <w:rFonts w:asciiTheme="minorHAnsi" w:eastAsiaTheme="minorHAnsi" w:hAnsiTheme="minorHAnsi" w:cstheme="minorBidi"/>
                <w:b w:val="0"/>
                <w:bCs w:val="0"/>
                <w:color w:val="4D4436" w:themeColor="text2" w:themeTint="E6"/>
                <w:sz w:val="20"/>
              </w:rPr>
            </w:pPr>
            <w:r>
              <w:t>Standards: K.1.1, K.1.3, 1.1.1, 1.1.2, 1.1.9, 2.1.2, 2.3.5, 3.1.1, 3.1.6, 4.1.2, 5.1.3, 5.1.6, 5.3.4</w:t>
            </w:r>
          </w:p>
          <w:p w:rsidR="0043373A" w:rsidRDefault="0043373A" w:rsidP="00F06EDE">
            <w:pPr>
              <w:spacing w:after="160"/>
            </w:pPr>
          </w:p>
          <w:p w:rsidR="00103955" w:rsidRDefault="00103955" w:rsidP="00F06EDE">
            <w:pPr>
              <w:spacing w:after="160"/>
              <w:contextualSpacing/>
            </w:pPr>
          </w:p>
          <w:p w:rsidR="00103955" w:rsidRDefault="00103955" w:rsidP="00F06EDE">
            <w:pPr>
              <w:spacing w:after="160"/>
              <w:contextualSpacing/>
            </w:pPr>
          </w:p>
          <w:p w:rsidR="00264AFA" w:rsidRPr="002E0548" w:rsidRDefault="00264AFA" w:rsidP="00264AFA">
            <w:pPr>
              <w:spacing w:after="0"/>
              <w:rPr>
                <w:color w:val="C00000"/>
              </w:rPr>
            </w:pPr>
            <w:r>
              <w:rPr>
                <w:color w:val="C00000"/>
              </w:rPr>
              <w:t>*</w:t>
            </w:r>
            <w:bookmarkStart w:id="0" w:name="_GoBack"/>
            <w:bookmarkEnd w:id="0"/>
            <w:r w:rsidRPr="00103955">
              <w:rPr>
                <w:color w:val="C00000"/>
              </w:rPr>
              <w:t xml:space="preserve">Other state standards may be addressed in </w:t>
            </w:r>
            <w:r>
              <w:rPr>
                <w:color w:val="C00000"/>
              </w:rPr>
              <w:t>subjects</w:t>
            </w:r>
            <w:r w:rsidRPr="00103955">
              <w:rPr>
                <w:color w:val="C00000"/>
              </w:rPr>
              <w:t xml:space="preserve"> of Science, Music, and/or Math.</w:t>
            </w:r>
          </w:p>
          <w:p w:rsidR="00103955" w:rsidRDefault="00103955" w:rsidP="00F06EDE">
            <w:pPr>
              <w:spacing w:after="160"/>
              <w:contextualSpacing/>
            </w:pPr>
          </w:p>
        </w:tc>
        <w:tc>
          <w:tcPr>
            <w:tcW w:w="559" w:type="dxa"/>
          </w:tcPr>
          <w:p w:rsidR="00B2178B" w:rsidRDefault="00B2178B"/>
        </w:tc>
        <w:tc>
          <w:tcPr>
            <w:tcW w:w="720" w:type="dxa"/>
          </w:tcPr>
          <w:p w:rsidR="00B2178B" w:rsidRDefault="00B2178B"/>
        </w:tc>
        <w:tc>
          <w:tcPr>
            <w:tcW w:w="3851" w:type="dxa"/>
          </w:tcPr>
          <w:p w:rsidR="002E0548" w:rsidRDefault="002E0548" w:rsidP="0043373A">
            <w:pPr>
              <w:spacing w:after="0"/>
              <w:rPr>
                <w:b/>
                <w:sz w:val="28"/>
                <w:szCs w:val="24"/>
              </w:rPr>
            </w:pPr>
          </w:p>
          <w:p w:rsidR="0043373A" w:rsidRPr="0053675A" w:rsidRDefault="0043373A" w:rsidP="0043373A">
            <w:pPr>
              <w:spacing w:after="0"/>
              <w:rPr>
                <w:b/>
                <w:sz w:val="28"/>
                <w:szCs w:val="24"/>
              </w:rPr>
            </w:pPr>
            <w:r w:rsidRPr="0053675A">
              <w:rPr>
                <w:b/>
                <w:sz w:val="28"/>
                <w:szCs w:val="24"/>
              </w:rPr>
              <w:t>Citizens of Syracuse</w:t>
            </w:r>
          </w:p>
          <w:p w:rsidR="0043373A" w:rsidRDefault="00560440" w:rsidP="0043373A">
            <w:pPr>
              <w:spacing w:after="0"/>
            </w:pPr>
            <w:r>
              <w:t>Grades 1</w:t>
            </w:r>
            <w:r w:rsidR="00A0182A">
              <w:t>-4</w:t>
            </w:r>
          </w:p>
          <w:p w:rsidR="0043373A" w:rsidRDefault="0043373A" w:rsidP="0043373A">
            <w:pPr>
              <w:spacing w:after="0"/>
            </w:pPr>
            <w:r>
              <w:t xml:space="preserve">How did Syracuse get started? Students will learn about Syracuse’s founding fathers and other prominent citizens of Syracuse’s early years, including Samuel </w:t>
            </w:r>
            <w:proofErr w:type="spellStart"/>
            <w:r>
              <w:t>Crosson</w:t>
            </w:r>
            <w:proofErr w:type="spellEnd"/>
            <w:r>
              <w:t xml:space="preserve">, J.P. Dolan, Eli Lilly, George Miles, and W.E. Long. Students will work with both primary and secondary sources as they examine old photos, letters, journals, newspaper articles, and historical artifacts to gain a better understanding of Syracuse’s past. </w:t>
            </w:r>
          </w:p>
          <w:p w:rsidR="0043373A" w:rsidRDefault="0043373A" w:rsidP="0043373A">
            <w:pPr>
              <w:spacing w:after="0"/>
              <w:contextualSpacing/>
            </w:pPr>
            <w:r>
              <w:t>*</w:t>
            </w:r>
            <w:r>
              <w:t xml:space="preserve">This program can also be adapted for a living </w:t>
            </w:r>
            <w:r>
              <w:t xml:space="preserve">history </w:t>
            </w:r>
            <w:r>
              <w:t>museum program</w:t>
            </w:r>
            <w:r>
              <w:t xml:space="preserve"> to be held at the museum. Children will choose a citizen, dress as the citizen, and give a speech as that citizen to members of the community walking through for the program.</w:t>
            </w:r>
          </w:p>
          <w:p w:rsidR="00116377" w:rsidRDefault="00116377" w:rsidP="0043373A">
            <w:pPr>
              <w:spacing w:after="0"/>
              <w:contextualSpacing/>
            </w:pPr>
            <w:r>
              <w:t xml:space="preserve">Standards: 1.1.2, 1.1.9, 2.1.1, 2.1.2, 2.1.3, 2.1.5, 2.1.7, 3.1.2, 3.1.6, 4.1.11, </w:t>
            </w:r>
            <w:r w:rsidR="00A0182A">
              <w:t>4.4.7</w:t>
            </w:r>
          </w:p>
          <w:p w:rsidR="00D43962" w:rsidRDefault="00D43962" w:rsidP="006C288E"/>
          <w:p w:rsidR="002E0548" w:rsidRDefault="002E0548" w:rsidP="002E0548">
            <w:pPr>
              <w:spacing w:after="0"/>
              <w:rPr>
                <w:b/>
                <w:sz w:val="28"/>
                <w:szCs w:val="28"/>
              </w:rPr>
            </w:pPr>
            <w:r>
              <w:rPr>
                <w:b/>
                <w:sz w:val="28"/>
                <w:szCs w:val="28"/>
              </w:rPr>
              <w:t>Life of a Pioneer Child</w:t>
            </w:r>
          </w:p>
          <w:p w:rsidR="002E0548" w:rsidRDefault="002E0548" w:rsidP="002E0548">
            <w:pPr>
              <w:spacing w:after="0"/>
            </w:pPr>
            <w:r>
              <w:t>Grades K – 2</w:t>
            </w:r>
          </w:p>
          <w:p w:rsidR="002E0548" w:rsidRDefault="002E0548" w:rsidP="002E0548">
            <w:pPr>
              <w:spacing w:after="160"/>
              <w:contextualSpacing/>
            </w:pPr>
            <w:r>
              <w:t>How was a pioneer child’s day different from a typical child today? Students will learn about children’s chores, lessons, and recreational activities of 100+ years ago. Students can try their hand at making butter, “washing” clothes, and/or playing pioneer games.</w:t>
            </w:r>
          </w:p>
          <w:p w:rsidR="002E0548" w:rsidRDefault="002E0548" w:rsidP="002E0548">
            <w:pPr>
              <w:spacing w:after="160"/>
              <w:contextualSpacing/>
            </w:pPr>
            <w:r>
              <w:t>Standards: K.1.1, 1.1.1, 1.1.2, 1.1.9, 2.1.2</w:t>
            </w:r>
          </w:p>
          <w:p w:rsidR="00B2178B" w:rsidRDefault="00B2178B"/>
        </w:tc>
      </w:tr>
    </w:tbl>
    <w:p w:rsidR="00B2178B" w:rsidRDefault="00B2178B" w:rsidP="00472DCB">
      <w:pPr>
        <w:pStyle w:val="NoSpacing"/>
      </w:pPr>
    </w:p>
    <w:sectPr w:rsidR="00B2178B" w:rsidSect="00713026">
      <w:pgSz w:w="15840" w:h="12240" w:orient="landscape" w:code="1"/>
      <w:pgMar w:top="45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DD"/>
    <w:rsid w:val="000616EE"/>
    <w:rsid w:val="00084B9E"/>
    <w:rsid w:val="000B7BBF"/>
    <w:rsid w:val="00103955"/>
    <w:rsid w:val="00116377"/>
    <w:rsid w:val="001855B0"/>
    <w:rsid w:val="0019646B"/>
    <w:rsid w:val="001C32F2"/>
    <w:rsid w:val="00217B15"/>
    <w:rsid w:val="00262F43"/>
    <w:rsid w:val="00264AFA"/>
    <w:rsid w:val="002C6A21"/>
    <w:rsid w:val="002E0548"/>
    <w:rsid w:val="00317B24"/>
    <w:rsid w:val="003248F0"/>
    <w:rsid w:val="003B22DD"/>
    <w:rsid w:val="003B633C"/>
    <w:rsid w:val="00407318"/>
    <w:rsid w:val="0043373A"/>
    <w:rsid w:val="00472DCB"/>
    <w:rsid w:val="0049416E"/>
    <w:rsid w:val="004B5D9C"/>
    <w:rsid w:val="004C083D"/>
    <w:rsid w:val="004F5C4B"/>
    <w:rsid w:val="00522C4D"/>
    <w:rsid w:val="0053675A"/>
    <w:rsid w:val="00560440"/>
    <w:rsid w:val="005741DB"/>
    <w:rsid w:val="005C4068"/>
    <w:rsid w:val="0061661F"/>
    <w:rsid w:val="00621142"/>
    <w:rsid w:val="006B5513"/>
    <w:rsid w:val="006C288E"/>
    <w:rsid w:val="006E3B82"/>
    <w:rsid w:val="00710873"/>
    <w:rsid w:val="00713026"/>
    <w:rsid w:val="007A757E"/>
    <w:rsid w:val="007D1375"/>
    <w:rsid w:val="009000E0"/>
    <w:rsid w:val="00905014"/>
    <w:rsid w:val="009337F8"/>
    <w:rsid w:val="00954D54"/>
    <w:rsid w:val="00982F68"/>
    <w:rsid w:val="00987C64"/>
    <w:rsid w:val="009B6234"/>
    <w:rsid w:val="009D2993"/>
    <w:rsid w:val="00A016B9"/>
    <w:rsid w:val="00A0182A"/>
    <w:rsid w:val="00A133C9"/>
    <w:rsid w:val="00A76555"/>
    <w:rsid w:val="00AE796B"/>
    <w:rsid w:val="00B20036"/>
    <w:rsid w:val="00B2178B"/>
    <w:rsid w:val="00B2599E"/>
    <w:rsid w:val="00B425A8"/>
    <w:rsid w:val="00B61EA5"/>
    <w:rsid w:val="00B62257"/>
    <w:rsid w:val="00BE1153"/>
    <w:rsid w:val="00BF1FCA"/>
    <w:rsid w:val="00C320DE"/>
    <w:rsid w:val="00C41351"/>
    <w:rsid w:val="00CF258C"/>
    <w:rsid w:val="00D43962"/>
    <w:rsid w:val="00D6318E"/>
    <w:rsid w:val="00D94A38"/>
    <w:rsid w:val="00DC2C84"/>
    <w:rsid w:val="00DC4683"/>
    <w:rsid w:val="00E4645B"/>
    <w:rsid w:val="00E51789"/>
    <w:rsid w:val="00E620F7"/>
    <w:rsid w:val="00E81432"/>
    <w:rsid w:val="00E83219"/>
    <w:rsid w:val="00EF7C9F"/>
    <w:rsid w:val="00F06EDE"/>
    <w:rsid w:val="00F3688A"/>
    <w:rsid w:val="00F42281"/>
    <w:rsid w:val="00FA1930"/>
    <w:rsid w:val="00FA2EAB"/>
    <w:rsid w:val="00FC30FC"/>
    <w:rsid w:val="00FD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8B3C064F-C534-4D75-882A-BA5A7229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 w:type="character" w:styleId="Hyperlink">
    <w:name w:val="Hyperlink"/>
    <w:basedOn w:val="DefaultParagraphFont"/>
    <w:uiPriority w:val="99"/>
    <w:unhideWhenUsed/>
    <w:rsid w:val="00FA1930"/>
    <w:rPr>
      <w:color w:val="4D4436" w:themeColor="hyperlink"/>
      <w:u w:val="single"/>
    </w:rPr>
  </w:style>
  <w:style w:type="paragraph" w:styleId="BalloonText">
    <w:name w:val="Balloon Text"/>
    <w:basedOn w:val="Normal"/>
    <w:link w:val="BalloonTextChar"/>
    <w:uiPriority w:val="99"/>
    <w:semiHidden/>
    <w:unhideWhenUsed/>
    <w:rsid w:val="00FA1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irector@syracusemuseum.org" TargetMode="External"/><Relationship Id="rId4" Type="http://schemas.openxmlformats.org/officeDocument/2006/relationships/styles" Target="styles.xml"/><Relationship Id="rId9" Type="http://schemas.openxmlformats.org/officeDocument/2006/relationships/hyperlink" Target="mailto:director@syracusemuseu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AppData\Roaming\Microsoft\Templates\Brochure%20for%20small%20busines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54DDC9C090462EBF585D4931EFCB0C"/>
        <w:category>
          <w:name w:val="General"/>
          <w:gallery w:val="placeholder"/>
        </w:category>
        <w:types>
          <w:type w:val="bbPlcHdr"/>
        </w:types>
        <w:behaviors>
          <w:behavior w:val="content"/>
        </w:behaviors>
        <w:guid w:val="{8448F949-F3F7-4115-8C10-988014415633}"/>
      </w:docPartPr>
      <w:docPartBody>
        <w:p w:rsidR="00767040" w:rsidRDefault="0000197B">
          <w:pPr>
            <w:pStyle w:val="FC54DDC9C090462EBF585D4931EFCB0C"/>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7B"/>
    <w:rsid w:val="0000197B"/>
    <w:rsid w:val="00167DEB"/>
    <w:rsid w:val="002A5536"/>
    <w:rsid w:val="002E2137"/>
    <w:rsid w:val="004B199E"/>
    <w:rsid w:val="00767040"/>
    <w:rsid w:val="00D76064"/>
    <w:rsid w:val="00DB7075"/>
    <w:rsid w:val="00E424F6"/>
    <w:rsid w:val="00E733C0"/>
    <w:rsid w:val="00F9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2E74B5"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8011240CE439096730D2FFD31B97F">
    <w:name w:val="1D68011240CE439096730D2FFD31B97F"/>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rPr>
  </w:style>
  <w:style w:type="paragraph" w:styleId="ListBullet">
    <w:name w:val="List Bullet"/>
    <w:basedOn w:val="Normal"/>
    <w:uiPriority w:val="1"/>
    <w:unhideWhenUsed/>
    <w:qFormat/>
    <w:pPr>
      <w:numPr>
        <w:numId w:val="1"/>
      </w:numPr>
      <w:spacing w:after="200" w:line="288" w:lineRule="auto"/>
    </w:pPr>
    <w:rPr>
      <w:color w:val="50637D" w:themeColor="text2" w:themeTint="E6"/>
      <w:sz w:val="20"/>
    </w:rPr>
  </w:style>
  <w:style w:type="paragraph" w:customStyle="1" w:styleId="D3891C978F4D4B5691854C9C48A1BED8">
    <w:name w:val="D3891C978F4D4B5691854C9C48A1BED8"/>
  </w:style>
  <w:style w:type="paragraph" w:customStyle="1" w:styleId="CCD962849CCB42D88BA4C67F98BAA984">
    <w:name w:val="CCD962849CCB42D88BA4C67F98BAA984"/>
  </w:style>
  <w:style w:type="paragraph" w:customStyle="1" w:styleId="1EDDD7246B2C4600B15CECB95E2927C3">
    <w:name w:val="1EDDD7246B2C4600B15CECB95E2927C3"/>
  </w:style>
  <w:style w:type="paragraph" w:customStyle="1" w:styleId="5FBC9F687AC94AF4A5CAACE3E4B9447B">
    <w:name w:val="5FBC9F687AC94AF4A5CAACE3E4B9447B"/>
  </w:style>
  <w:style w:type="paragraph" w:customStyle="1" w:styleId="84C3C01483CD475CAED2D3285DEFFD2E">
    <w:name w:val="84C3C01483CD475CAED2D3285DEFFD2E"/>
  </w:style>
  <w:style w:type="paragraph" w:customStyle="1" w:styleId="FC54DDC9C090462EBF585D4931EFCB0C">
    <w:name w:val="FC54DDC9C090462EBF585D4931EFCB0C"/>
  </w:style>
  <w:style w:type="paragraph" w:customStyle="1" w:styleId="F264A8A929B3431386E82E6EAD93ED15">
    <w:name w:val="F264A8A929B3431386E82E6EAD93ED15"/>
  </w:style>
  <w:style w:type="paragraph" w:customStyle="1" w:styleId="735B589D63D24599BA4867A9748FC7BB">
    <w:name w:val="735B589D63D24599BA4867A9748FC7BB"/>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E74B5" w:themeColor="accent1" w:themeShade="BF"/>
      <w:sz w:val="42"/>
    </w:rPr>
  </w:style>
  <w:style w:type="paragraph" w:customStyle="1" w:styleId="54A569C7FD924F33860C7E8D05914EFD">
    <w:name w:val="54A569C7FD924F33860C7E8D05914EFD"/>
  </w:style>
  <w:style w:type="paragraph" w:customStyle="1" w:styleId="49461CCBDAD34EB6B1D2CEE05458F796">
    <w:name w:val="49461CCBDAD34EB6B1D2CEE05458F796"/>
  </w:style>
  <w:style w:type="paragraph" w:styleId="Quote">
    <w:name w:val="Quote"/>
    <w:basedOn w:val="Normal"/>
    <w:next w:val="Normal"/>
    <w:link w:val="QuoteChar"/>
    <w:uiPriority w:val="1"/>
    <w:qFormat/>
    <w:pPr>
      <w:pBdr>
        <w:top w:val="single" w:sz="4" w:space="14" w:color="2E74B5" w:themeColor="accent1" w:themeShade="BF"/>
        <w:bottom w:val="single" w:sz="4" w:space="14" w:color="2E74B5" w:themeColor="accent1" w:themeShade="BF"/>
      </w:pBdr>
      <w:spacing w:before="480" w:after="480" w:line="336" w:lineRule="auto"/>
    </w:pPr>
    <w:rPr>
      <w:i/>
      <w:iCs/>
      <w:color w:val="2E74B5" w:themeColor="accent1" w:themeShade="BF"/>
      <w:sz w:val="30"/>
    </w:rPr>
  </w:style>
  <w:style w:type="character" w:customStyle="1" w:styleId="QuoteChar">
    <w:name w:val="Quote Char"/>
    <w:basedOn w:val="DefaultParagraphFont"/>
    <w:link w:val="Quote"/>
    <w:uiPriority w:val="1"/>
    <w:rPr>
      <w:i/>
      <w:iCs/>
      <w:color w:val="2E74B5" w:themeColor="accent1" w:themeShade="BF"/>
      <w:sz w:val="30"/>
    </w:rPr>
  </w:style>
  <w:style w:type="paragraph" w:customStyle="1" w:styleId="9C6B4A5A137C4FA1A72CDF628683B84D">
    <w:name w:val="9C6B4A5A137C4FA1A72CDF628683B84D"/>
  </w:style>
  <w:style w:type="paragraph" w:customStyle="1" w:styleId="4615CB5C774443A3A41CE96C96AA47BF">
    <w:name w:val="4615CB5C774443A3A41CE96C96AA47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customXml/itemProps2.xml><?xml version="1.0" encoding="utf-8"?>
<ds:datastoreItem xmlns:ds="http://schemas.openxmlformats.org/officeDocument/2006/customXml" ds:itemID="{B85D62D5-EF1A-439A-A185-83A02305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 for small business</Template>
  <TotalTime>85</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SYracuse-Wawasee      historical museum</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Director</dc:creator>
  <cp:keywords/>
  <cp:lastModifiedBy>Director</cp:lastModifiedBy>
  <cp:revision>8</cp:revision>
  <cp:lastPrinted>2015-07-30T18:04:00Z</cp:lastPrinted>
  <dcterms:created xsi:type="dcterms:W3CDTF">2015-07-30T15:20:00Z</dcterms:created>
  <dcterms:modified xsi:type="dcterms:W3CDTF">2015-07-30T18:07:00Z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